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5" w:lineRule="auto"/>
        <w:rPr>
          <w:rFonts w:ascii="PT Sans" w:cs="PT Sans" w:eastAsia="PT Sans" w:hAnsi="PT Sans"/>
          <w:b w:val="1"/>
          <w:smallCaps w:val="1"/>
          <w:sz w:val="33"/>
          <w:szCs w:val="33"/>
        </w:rPr>
      </w:pPr>
      <w:r w:rsidDel="00000000" w:rsidR="00000000" w:rsidRPr="00000000">
        <w:rPr>
          <w:rFonts w:ascii="PT Sans" w:cs="PT Sans" w:eastAsia="PT Sans" w:hAnsi="PT Sans"/>
          <w:b w:val="1"/>
          <w:smallCaps w:val="1"/>
          <w:sz w:val="33"/>
          <w:szCs w:val="33"/>
          <w:rtl w:val="0"/>
        </w:rPr>
        <w:t xml:space="preserve">ARTS: SCAPE AVENUE B (CREATIVE AND PERFORMING ARTS)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Orchestra Magnet Program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designed for students who have demonstrated talent or the potential for exceptional talent in the creative and performing arts.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Avenue B will be accessed via the audition process, which mirrors the current criteria used for admission to the Barbara Ingram School for the Arts (BISFA). These creatively gifted and talented students will select a performing arts Orchestra concentration path, and participants will be eased into advanced-level coursework for Orchestra.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applicants are required to audition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8"/>
          <w:szCs w:val="28"/>
        </w:rPr>
      </w:pPr>
      <w:r w:rsidDel="00000000" w:rsidR="00000000" w:rsidRPr="00000000">
        <w:rPr>
          <w:b w:val="1"/>
          <w:sz w:val="28"/>
          <w:szCs w:val="28"/>
          <w:rtl w:val="0"/>
        </w:rPr>
        <w:t xml:space="preserve">Students may audition on the following instruments: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Violin</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Viola</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Cello</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Double Bass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b w:val="1"/>
          <w:sz w:val="32"/>
          <w:szCs w:val="32"/>
          <w:rtl w:val="0"/>
        </w:rPr>
        <w:t xml:space="preserve">Audition Requirements:</w:t>
      </w: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rPr>
      </w:pPr>
      <w:r w:rsidDel="00000000" w:rsidR="00000000" w:rsidRPr="00000000">
        <w:rPr>
          <w:b w:val="1"/>
          <w:u w:val="single"/>
          <w:rtl w:val="0"/>
        </w:rPr>
        <w:t xml:space="preserve">Prepared Solo</w:t>
      </w:r>
      <w:r w:rsidDel="00000000" w:rsidR="00000000" w:rsidRPr="00000000">
        <w:rPr>
          <w:b w:val="1"/>
          <w:rtl w:val="0"/>
        </w:rPr>
        <w:t xml:space="preserve"> - </w:t>
      </w:r>
      <w:r w:rsidDel="00000000" w:rsidR="00000000" w:rsidRPr="00000000">
        <w:rPr>
          <w:rtl w:val="0"/>
        </w:rPr>
        <w:t xml:space="preserve">memorization NOT required</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The student will perform a solo of his/her choice that best demonstrates their abilities</w:t>
      </w:r>
    </w:p>
    <w:p w:rsidR="00000000" w:rsidDel="00000000" w:rsidP="00000000" w:rsidRDefault="00000000" w:rsidRPr="00000000" w14:paraId="00000010">
      <w:pPr>
        <w:numPr>
          <w:ilvl w:val="1"/>
          <w:numId w:val="1"/>
        </w:numPr>
        <w:ind w:left="1440" w:hanging="360"/>
        <w:rPr/>
      </w:pPr>
      <w:r w:rsidDel="00000000" w:rsidR="00000000" w:rsidRPr="00000000">
        <w:rPr>
          <w:rtl w:val="0"/>
        </w:rPr>
        <w:t xml:space="preserve">The piece must be a solo or etude (not ensemble music)</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An accompanist is not permitted</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The student must provide </w:t>
      </w: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copies</w:t>
      </w:r>
      <w:r w:rsidDel="00000000" w:rsidR="00000000" w:rsidRPr="00000000">
        <w:rPr>
          <w:rtl w:val="0"/>
        </w:rPr>
        <w:t xml:space="preserve"> of the piece for the judges</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b w:val="1"/>
          <w:u w:val="single"/>
          <w:rtl w:val="0"/>
        </w:rPr>
        <w:t xml:space="preserve">Scale</w:t>
      </w:r>
      <w:r w:rsidDel="00000000" w:rsidR="00000000" w:rsidRPr="00000000">
        <w:rPr>
          <w:b w:val="1"/>
          <w:rtl w:val="0"/>
        </w:rPr>
        <w:t xml:space="preserve"> - must be performed from memory</w:t>
      </w:r>
    </w:p>
    <w:p w:rsidR="00000000" w:rsidDel="00000000" w:rsidP="00000000" w:rsidRDefault="00000000" w:rsidRPr="00000000" w14:paraId="00000015">
      <w:pPr>
        <w:numPr>
          <w:ilvl w:val="1"/>
          <w:numId w:val="1"/>
        </w:numPr>
        <w:ind w:left="1440" w:hanging="360"/>
        <w:rPr/>
      </w:pPr>
      <w:r w:rsidDel="00000000" w:rsidR="00000000" w:rsidRPr="00000000">
        <w:rPr>
          <w:rtl w:val="0"/>
        </w:rPr>
        <w:t xml:space="preserve">1 octave D Major Scale</w:t>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u w:val="none"/>
        </w:rPr>
      </w:pPr>
      <w:r w:rsidDel="00000000" w:rsidR="00000000" w:rsidRPr="00000000">
        <w:rPr>
          <w:b w:val="1"/>
          <w:u w:val="single"/>
          <w:rtl w:val="0"/>
        </w:rPr>
        <w:t xml:space="preserve">Sight-Reading</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The student will be required to sight-read a selection chosen by the panel</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u w:val="none"/>
        </w:rPr>
      </w:pPr>
      <w:r w:rsidDel="00000000" w:rsidR="00000000" w:rsidRPr="00000000">
        <w:rPr>
          <w:b w:val="1"/>
          <w:u w:val="single"/>
          <w:rtl w:val="0"/>
        </w:rPr>
        <w:t xml:space="preserve">Interview</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Applicants will be interviewed to allow the instructors the opportunity to fully understand each applicant’s background</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The interview may include questions about musical knowledge, the reason why you want to join magnet orchestra, your musical goals, etc.</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Times New Roman" w:cs="Times New Roman" w:eastAsia="Times New Roman" w:hAnsi="Times New Roman"/>
      <w:color w:val="000000"/>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